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47BC9" w14:textId="77777777" w:rsidR="002618DF" w:rsidRDefault="002618DF" w:rsidP="002618DF">
      <w:pPr>
        <w:widowControl w:val="0"/>
        <w:jc w:val="center"/>
        <w:rPr>
          <w:rFonts w:ascii="Cambria" w:hAnsi="Cambria" w:cs="Arial"/>
          <w:b/>
          <w:color w:val="000099"/>
        </w:rPr>
      </w:pPr>
      <w:r>
        <w:rPr>
          <w:rFonts w:ascii="Cambria" w:hAnsi="Cambria" w:cs="Arial"/>
          <w:b/>
          <w:color w:val="000099"/>
        </w:rPr>
        <w:t xml:space="preserve">ADQUISICION DE CINCO ESTACIONES DE RASTREO PERMANENTE GNSS PARA EL FORTALECIMIENTO DEL INSTITUTO GEOGRAFICO NACIONAL </w:t>
      </w:r>
    </w:p>
    <w:p w14:paraId="2A84C97A" w14:textId="77777777" w:rsidR="002618DF" w:rsidRPr="002618DF" w:rsidRDefault="002618DF" w:rsidP="002618DF">
      <w:pPr>
        <w:spacing w:after="0" w:line="240" w:lineRule="auto"/>
        <w:ind w:right="465"/>
        <w:jc w:val="center"/>
        <w:rPr>
          <w:rFonts w:ascii="Cambria" w:hAnsi="Cambria" w:cs="Arial"/>
          <w:b/>
          <w:color w:val="000099"/>
        </w:rPr>
      </w:pPr>
      <w:r w:rsidRPr="002618DF">
        <w:rPr>
          <w:rFonts w:ascii="Cambria" w:hAnsi="Cambria" w:cs="Arial"/>
          <w:b/>
          <w:color w:val="000099"/>
        </w:rPr>
        <w:t xml:space="preserve">ACLARACIONES A LAS ESPECIFICACIONES TECNICAS </w:t>
      </w:r>
    </w:p>
    <w:p w14:paraId="0BF70C21" w14:textId="77777777" w:rsidR="002618DF" w:rsidRPr="00D728FF" w:rsidRDefault="002618DF" w:rsidP="002618DF">
      <w:pPr>
        <w:widowControl w:val="0"/>
        <w:pBdr>
          <w:bottom w:val="single" w:sz="4" w:space="1" w:color="auto"/>
        </w:pBdr>
        <w:jc w:val="center"/>
        <w:rPr>
          <w:rFonts w:ascii="Cambria" w:hAnsi="Cambria" w:cs="Arial"/>
          <w:b/>
          <w:color w:val="000099"/>
        </w:rPr>
      </w:pPr>
    </w:p>
    <w:p w14:paraId="74D931B9" w14:textId="77777777" w:rsidR="006E6EF3" w:rsidRDefault="006E6EF3" w:rsidP="006E6EF3">
      <w:pPr>
        <w:spacing w:after="0" w:line="240" w:lineRule="auto"/>
        <w:jc w:val="both"/>
        <w:rPr>
          <w:rFonts w:cs="Arial"/>
          <w:sz w:val="21"/>
          <w:szCs w:val="21"/>
        </w:rPr>
      </w:pPr>
      <w:r w:rsidRPr="00521A71">
        <w:rPr>
          <w:rFonts w:cs="Arial"/>
          <w:sz w:val="21"/>
          <w:szCs w:val="21"/>
        </w:rPr>
        <w:t xml:space="preserve">En Lima, </w:t>
      </w:r>
      <w:r w:rsidRPr="00521A71">
        <w:rPr>
          <w:sz w:val="21"/>
          <w:szCs w:val="21"/>
        </w:rPr>
        <w:t xml:space="preserve">en el marco del </w:t>
      </w:r>
      <w:r w:rsidRPr="00521A71">
        <w:rPr>
          <w:rFonts w:cs="Arial"/>
          <w:sz w:val="21"/>
          <w:szCs w:val="21"/>
        </w:rPr>
        <w:t xml:space="preserve">Contrato de Préstamo BID N° 3370-OC/PE - </w:t>
      </w:r>
      <w:r w:rsidRPr="00521A71">
        <w:rPr>
          <w:rFonts w:cs="Arial"/>
          <w:b/>
          <w:sz w:val="21"/>
          <w:szCs w:val="21"/>
        </w:rPr>
        <w:t>Proyecto Catastro, Titulación y Registro De Tierras Rurales En El Perú, Tercera Etapa</w:t>
      </w:r>
      <w:r w:rsidRPr="00521A71">
        <w:rPr>
          <w:rFonts w:cs="Arial"/>
          <w:sz w:val="21"/>
          <w:szCs w:val="21"/>
        </w:rPr>
        <w:t xml:space="preserve">, siendo las </w:t>
      </w:r>
      <w:r>
        <w:rPr>
          <w:rFonts w:cs="Arial"/>
          <w:sz w:val="21"/>
          <w:szCs w:val="21"/>
        </w:rPr>
        <w:t>11</w:t>
      </w:r>
      <w:r w:rsidRPr="00521A71">
        <w:rPr>
          <w:rFonts w:cs="Arial"/>
          <w:sz w:val="21"/>
          <w:szCs w:val="21"/>
        </w:rPr>
        <w:t xml:space="preserve">:00 horas del día 12 de Diciembre de 2016, en las oficinas de la Unidad Ejecutora de Gestión de Proyectos Sectoriales(UEGPS), ubicadas en la Av. Francisco Javier Mariátegui N° 525, Jesús Maria, Lima, </w:t>
      </w:r>
      <w:r w:rsidRPr="00A10146">
        <w:rPr>
          <w:rFonts w:cs="Arial"/>
          <w:sz w:val="21"/>
          <w:szCs w:val="21"/>
        </w:rPr>
        <w:t xml:space="preserve">se reunió el Comité </w:t>
      </w:r>
      <w:r>
        <w:rPr>
          <w:rFonts w:cs="Arial"/>
          <w:sz w:val="21"/>
          <w:szCs w:val="21"/>
        </w:rPr>
        <w:t xml:space="preserve">Encargado de los Procesos de Adquisición de </w:t>
      </w:r>
      <w:r w:rsidRPr="00A10146">
        <w:rPr>
          <w:rFonts w:cs="Arial"/>
          <w:sz w:val="21"/>
          <w:szCs w:val="21"/>
        </w:rPr>
        <w:t>Bienes y Servicios</w:t>
      </w:r>
      <w:r>
        <w:rPr>
          <w:rFonts w:cs="Arial"/>
          <w:sz w:val="21"/>
          <w:szCs w:val="21"/>
        </w:rPr>
        <w:t xml:space="preserve"> de No Consultoría,</w:t>
      </w:r>
      <w:r w:rsidRPr="00A10146">
        <w:rPr>
          <w:rFonts w:cs="Arial"/>
          <w:sz w:val="21"/>
          <w:szCs w:val="21"/>
        </w:rPr>
        <w:t xml:space="preserve"> bajo las políticas del Banco Interamericano de Desarrollo-BID del proyecto “Catastro, Titulación y Registro de Tierras Rurales en el Perú, Tercera Etapa –PTRT3, </w:t>
      </w:r>
      <w:r>
        <w:rPr>
          <w:rFonts w:cs="Arial"/>
          <w:sz w:val="21"/>
          <w:szCs w:val="21"/>
        </w:rPr>
        <w:t xml:space="preserve">correspondiente al Componente 2: Desarrollo de la Plataforma Tecnológica para Agilizar los Servicios de Catastro, Titulación y Registro, </w:t>
      </w:r>
      <w:r w:rsidRPr="00A10146">
        <w:rPr>
          <w:rFonts w:cs="Arial"/>
          <w:sz w:val="21"/>
          <w:szCs w:val="21"/>
        </w:rPr>
        <w:t>designado mediante Resolución Directoral Ejecutiva N° 068-2016-MINAGRI-DVDIAR-UEGPS-DE, integrado por las siguientes personas:</w:t>
      </w:r>
    </w:p>
    <w:p w14:paraId="4B558642" w14:textId="77777777" w:rsidR="006E6EF3" w:rsidRDefault="006E6EF3" w:rsidP="006E6EF3">
      <w:pPr>
        <w:spacing w:after="0" w:line="240" w:lineRule="auto"/>
        <w:jc w:val="both"/>
        <w:rPr>
          <w:rFonts w:cs="Arial"/>
          <w:sz w:val="21"/>
          <w:szCs w:val="21"/>
        </w:rPr>
      </w:pPr>
    </w:p>
    <w:p w14:paraId="2B0C7C27" w14:textId="77777777" w:rsidR="006E6EF3" w:rsidRPr="00521A71" w:rsidRDefault="006E6EF3" w:rsidP="006E6EF3">
      <w:pPr>
        <w:pStyle w:val="Fespecifica"/>
        <w:numPr>
          <w:ilvl w:val="0"/>
          <w:numId w:val="7"/>
        </w:numPr>
        <w:spacing w:after="0"/>
        <w:rPr>
          <w:rFonts w:ascii="Calibri" w:hAnsi="Calibri" w:cs="Arial"/>
          <w:sz w:val="21"/>
          <w:szCs w:val="21"/>
        </w:rPr>
      </w:pPr>
      <w:r w:rsidRPr="00521A71">
        <w:rPr>
          <w:rFonts w:ascii="Calibri" w:hAnsi="Calibri" w:cs="Arial"/>
          <w:sz w:val="21"/>
          <w:szCs w:val="21"/>
        </w:rPr>
        <w:t xml:space="preserve">Ing. </w:t>
      </w:r>
      <w:proofErr w:type="spellStart"/>
      <w:r w:rsidRPr="00521A71">
        <w:rPr>
          <w:rFonts w:ascii="Calibri" w:hAnsi="Calibri" w:cs="Arial"/>
          <w:sz w:val="21"/>
          <w:szCs w:val="21"/>
        </w:rPr>
        <w:t>Marlowe</w:t>
      </w:r>
      <w:proofErr w:type="spellEnd"/>
      <w:r w:rsidRPr="00521A71">
        <w:rPr>
          <w:rFonts w:ascii="Calibri" w:hAnsi="Calibri" w:cs="Arial"/>
          <w:sz w:val="21"/>
          <w:szCs w:val="21"/>
        </w:rPr>
        <w:t xml:space="preserve"> Salazar Ramirez, quien lo preside,</w:t>
      </w:r>
    </w:p>
    <w:p w14:paraId="1903A668" w14:textId="77777777" w:rsidR="006E6EF3" w:rsidRPr="00521A71" w:rsidRDefault="006E6EF3" w:rsidP="006E6EF3">
      <w:pPr>
        <w:pStyle w:val="Fespecifica"/>
        <w:numPr>
          <w:ilvl w:val="0"/>
          <w:numId w:val="7"/>
        </w:numPr>
        <w:spacing w:after="0"/>
        <w:rPr>
          <w:rFonts w:ascii="Calibri" w:hAnsi="Calibri" w:cs="Arial"/>
          <w:sz w:val="21"/>
          <w:szCs w:val="21"/>
        </w:rPr>
      </w:pPr>
      <w:r w:rsidRPr="00521A71">
        <w:rPr>
          <w:rFonts w:ascii="Calibri" w:hAnsi="Calibri" w:cs="Arial"/>
          <w:sz w:val="21"/>
          <w:szCs w:val="21"/>
        </w:rPr>
        <w:t xml:space="preserve">C.P.C. Alberto Demetrio Jara </w:t>
      </w:r>
      <w:proofErr w:type="spellStart"/>
      <w:r w:rsidRPr="00521A71">
        <w:rPr>
          <w:rFonts w:ascii="Calibri" w:hAnsi="Calibri" w:cs="Arial"/>
          <w:sz w:val="21"/>
          <w:szCs w:val="21"/>
        </w:rPr>
        <w:t>Barrutia</w:t>
      </w:r>
      <w:proofErr w:type="spellEnd"/>
      <w:r w:rsidRPr="00521A71">
        <w:rPr>
          <w:rFonts w:ascii="Calibri" w:hAnsi="Calibri" w:cs="Arial"/>
          <w:sz w:val="21"/>
          <w:szCs w:val="21"/>
        </w:rPr>
        <w:t>, Primer miembro titular,</w:t>
      </w:r>
    </w:p>
    <w:p w14:paraId="1980C579" w14:textId="3C13AD23" w:rsidR="002618DF" w:rsidRDefault="006E6EF3" w:rsidP="006E6EF3">
      <w:pPr>
        <w:spacing w:after="0" w:line="240" w:lineRule="auto"/>
        <w:ind w:right="465"/>
        <w:jc w:val="center"/>
        <w:rPr>
          <w:rFonts w:ascii="Calibri" w:hAnsi="Calibri" w:cs="Arial"/>
          <w:sz w:val="21"/>
          <w:szCs w:val="21"/>
        </w:rPr>
      </w:pPr>
      <w:r w:rsidRPr="00521A71">
        <w:rPr>
          <w:rFonts w:ascii="Calibri" w:hAnsi="Calibri" w:cs="Arial"/>
          <w:sz w:val="21"/>
          <w:szCs w:val="21"/>
        </w:rPr>
        <w:t>Ing. María Regina Gómez Cervantes, Segundo Miembro</w:t>
      </w:r>
    </w:p>
    <w:p w14:paraId="59E5EAE2" w14:textId="77777777" w:rsidR="006E6EF3" w:rsidRPr="002618DF" w:rsidRDefault="006E6EF3" w:rsidP="006E6EF3">
      <w:pPr>
        <w:spacing w:after="0" w:line="240" w:lineRule="auto"/>
        <w:ind w:right="465"/>
        <w:jc w:val="center"/>
        <w:rPr>
          <w:rFonts w:ascii="Arial" w:eastAsia="Times New Roman" w:hAnsi="Arial" w:cs="Arial"/>
          <w:b/>
          <w:bCs/>
          <w:i/>
          <w:iCs/>
          <w:color w:val="555555"/>
          <w:sz w:val="24"/>
          <w:szCs w:val="24"/>
          <w:u w:val="single"/>
          <w:lang w:eastAsia="es-PE"/>
        </w:rPr>
      </w:pPr>
    </w:p>
    <w:p w14:paraId="44B8C6C9" w14:textId="687C0B2A" w:rsidR="002618DF" w:rsidRPr="002618DF" w:rsidRDefault="002618DF" w:rsidP="002618DF">
      <w:pPr>
        <w:spacing w:after="0" w:line="240" w:lineRule="auto"/>
        <w:jc w:val="both"/>
        <w:rPr>
          <w:b/>
          <w:i/>
          <w:u w:val="single"/>
          <w:lang w:val="es-419"/>
        </w:rPr>
      </w:pPr>
      <w:r w:rsidRPr="002618DF">
        <w:rPr>
          <w:b/>
          <w:i/>
          <w:u w:val="single"/>
          <w:lang w:val="es-419"/>
        </w:rPr>
        <w:t xml:space="preserve">Aclaración N° 01 </w:t>
      </w:r>
    </w:p>
    <w:p w14:paraId="40B2388C" w14:textId="77777777" w:rsidR="002618DF" w:rsidRDefault="00046F50" w:rsidP="002618DF">
      <w:pPr>
        <w:pStyle w:val="Prrafodelista"/>
        <w:numPr>
          <w:ilvl w:val="0"/>
          <w:numId w:val="1"/>
        </w:numPr>
        <w:spacing w:after="0" w:line="240" w:lineRule="auto"/>
        <w:jc w:val="both"/>
      </w:pPr>
      <w:r>
        <w:rPr>
          <w:noProof/>
          <w:lang w:eastAsia="es-PE"/>
        </w:rPr>
        <w:drawing>
          <wp:anchor distT="0" distB="0" distL="114300" distR="114300" simplePos="0" relativeHeight="251655168" behindDoc="1" locked="0" layoutInCell="1" allowOverlap="1" wp14:anchorId="2FD11935" wp14:editId="3BA4F734">
            <wp:simplePos x="0" y="0"/>
            <wp:positionH relativeFrom="column">
              <wp:posOffset>34290</wp:posOffset>
            </wp:positionH>
            <wp:positionV relativeFrom="paragraph">
              <wp:posOffset>608965</wp:posOffset>
            </wp:positionV>
            <wp:extent cx="5915660" cy="3100705"/>
            <wp:effectExtent l="0" t="0" r="8890" b="4445"/>
            <wp:wrapTight wrapText="bothSides">
              <wp:wrapPolygon edited="0">
                <wp:start x="0" y="0"/>
                <wp:lineTo x="0" y="21498"/>
                <wp:lineTo x="21563" y="21498"/>
                <wp:lineTo x="2156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10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C01">
        <w:t xml:space="preserve">En cuanto a las características </w:t>
      </w:r>
      <w:r w:rsidR="00FF5C01" w:rsidRPr="00FF5C01">
        <w:rPr>
          <w:b/>
        </w:rPr>
        <w:t>( Señales captadas,  canales captados, Intervalo de registro, Precisión)</w:t>
      </w:r>
      <w:r w:rsidR="001415A1">
        <w:rPr>
          <w:b/>
        </w:rPr>
        <w:t xml:space="preserve"> , </w:t>
      </w:r>
      <w:r w:rsidR="001415A1" w:rsidRPr="001415A1">
        <w:t>no realizan</w:t>
      </w:r>
      <w:r w:rsidR="001415A1">
        <w:rPr>
          <w:b/>
        </w:rPr>
        <w:t xml:space="preserve"> ninguna </w:t>
      </w:r>
      <w:r w:rsidR="001415A1" w:rsidRPr="001415A1">
        <w:t>observación</w:t>
      </w:r>
      <w:r w:rsidR="001415A1">
        <w:rPr>
          <w:b/>
        </w:rPr>
        <w:t xml:space="preserve">, </w:t>
      </w:r>
      <w:r w:rsidR="001415A1" w:rsidRPr="001415A1">
        <w:t>tal como se puede observar en la imagen siguiente:</w:t>
      </w:r>
    </w:p>
    <w:p w14:paraId="77F39406" w14:textId="77777777" w:rsidR="002618DF" w:rsidRDefault="002618DF" w:rsidP="002618DF">
      <w:pPr>
        <w:jc w:val="both"/>
      </w:pPr>
    </w:p>
    <w:p w14:paraId="4F3D5A80" w14:textId="77777777" w:rsidR="002618DF" w:rsidRPr="002618DF" w:rsidRDefault="002618DF" w:rsidP="002618DF">
      <w:pPr>
        <w:spacing w:after="0" w:line="240" w:lineRule="auto"/>
        <w:jc w:val="both"/>
        <w:rPr>
          <w:b/>
          <w:i/>
          <w:u w:val="single"/>
        </w:rPr>
      </w:pPr>
      <w:r w:rsidRPr="002618DF">
        <w:rPr>
          <w:b/>
          <w:i/>
          <w:u w:val="single"/>
        </w:rPr>
        <w:t xml:space="preserve">Aclaración N° 02 </w:t>
      </w:r>
    </w:p>
    <w:p w14:paraId="1FAA80B7" w14:textId="7FC5C0A1" w:rsidR="001415A1" w:rsidRDefault="001415A1" w:rsidP="002618DF">
      <w:pPr>
        <w:spacing w:after="0" w:line="240" w:lineRule="auto"/>
        <w:jc w:val="both"/>
      </w:pPr>
      <w:r>
        <w:t xml:space="preserve">En la característica FORMATOS SOPORTADOS, </w:t>
      </w:r>
      <w:r w:rsidR="00A54FE4">
        <w:t xml:space="preserve">el representante de GEOTOP solicita </w:t>
      </w:r>
      <w:r w:rsidR="00963F90" w:rsidRPr="002618DF">
        <w:rPr>
          <w:i/>
        </w:rPr>
        <w:t>(observar imagen siguiente)</w:t>
      </w:r>
      <w:r w:rsidR="00963F90">
        <w:t xml:space="preserve"> </w:t>
      </w:r>
      <w:r w:rsidR="00A54FE4">
        <w:t xml:space="preserve">se incluya el formato </w:t>
      </w:r>
      <w:r w:rsidR="00724431">
        <w:t>RINEX por</w:t>
      </w:r>
      <w:r w:rsidR="00A54FE4">
        <w:t xml:space="preserve"> ser el formato universal de almacenamiento de datos geodésicos. </w:t>
      </w:r>
      <w:proofErr w:type="gramStart"/>
      <w:r w:rsidR="00A54FE4">
        <w:t>lo</w:t>
      </w:r>
      <w:proofErr w:type="gramEnd"/>
      <w:r w:rsidR="00A54FE4">
        <w:t xml:space="preserve"> cual consideramos técnicamente correcto. </w:t>
      </w:r>
    </w:p>
    <w:p w14:paraId="38BCAF90" w14:textId="45FA66BF" w:rsidR="002618DF" w:rsidRPr="002618DF" w:rsidRDefault="00046F50" w:rsidP="002618DF">
      <w:pPr>
        <w:pStyle w:val="Prrafodelista"/>
        <w:spacing w:after="0" w:line="240" w:lineRule="auto"/>
        <w:ind w:left="794"/>
        <w:jc w:val="both"/>
        <w:rPr>
          <w:b/>
        </w:rPr>
      </w:pPr>
      <w:r w:rsidRPr="002618DF">
        <w:rPr>
          <w:b/>
          <w:noProof/>
          <w:lang w:eastAsia="es-PE"/>
        </w:rPr>
        <w:lastRenderedPageBreak/>
        <w:drawing>
          <wp:anchor distT="0" distB="0" distL="114300" distR="114300" simplePos="0" relativeHeight="251667456" behindDoc="1" locked="0" layoutInCell="1" allowOverlap="1" wp14:anchorId="72F30091" wp14:editId="592CE706">
            <wp:simplePos x="0" y="0"/>
            <wp:positionH relativeFrom="column">
              <wp:posOffset>-60960</wp:posOffset>
            </wp:positionH>
            <wp:positionV relativeFrom="paragraph">
              <wp:posOffset>0</wp:posOffset>
            </wp:positionV>
            <wp:extent cx="5961380" cy="2099945"/>
            <wp:effectExtent l="0" t="0" r="1270" b="0"/>
            <wp:wrapTight wrapText="bothSides">
              <wp:wrapPolygon edited="0">
                <wp:start x="0" y="0"/>
                <wp:lineTo x="0" y="21358"/>
                <wp:lineTo x="21536" y="21358"/>
                <wp:lineTo x="2153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138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8DF" w:rsidRPr="002618DF">
        <w:rPr>
          <w:b/>
        </w:rPr>
        <w:t xml:space="preserve">Formato de Almacenamiento </w:t>
      </w:r>
    </w:p>
    <w:p w14:paraId="2E3D6936" w14:textId="39A7EE6C" w:rsidR="00A54FE4" w:rsidRDefault="0094479A" w:rsidP="002618DF">
      <w:pPr>
        <w:pStyle w:val="Prrafodelista"/>
        <w:spacing w:after="0" w:line="240" w:lineRule="auto"/>
        <w:ind w:left="794"/>
        <w:jc w:val="both"/>
        <w:rPr>
          <w:i/>
        </w:rPr>
      </w:pPr>
      <w:r>
        <w:t xml:space="preserve">La información de posicionamiento geodésico que recibe el receptor geodésico de los satélites (GPS, GLONASS, </w:t>
      </w:r>
      <w:proofErr w:type="spellStart"/>
      <w:r>
        <w:t>etc</w:t>
      </w:r>
      <w:proofErr w:type="spellEnd"/>
      <w:r>
        <w:t>). Graba la información en</w:t>
      </w:r>
      <w:r w:rsidR="00571561">
        <w:t xml:space="preserve"> su memoria de almacenamiento en formato RINEX. Esta característica lo realizan todos los equipos geodésicos del mundo porque se trata de un estándar universal. </w:t>
      </w:r>
      <w:r w:rsidR="00963F90">
        <w:t>(</w:t>
      </w:r>
      <w:r w:rsidR="00963F90" w:rsidRPr="00963F90">
        <w:rPr>
          <w:i/>
        </w:rPr>
        <w:t>Ver imagen siguiente)</w:t>
      </w:r>
      <w:r w:rsidR="00963F90">
        <w:rPr>
          <w:i/>
        </w:rPr>
        <w:t>.</w:t>
      </w:r>
    </w:p>
    <w:p w14:paraId="713E865B" w14:textId="52C90769" w:rsidR="00046F50" w:rsidRDefault="00046F50" w:rsidP="002618DF">
      <w:pPr>
        <w:pStyle w:val="Prrafodelista"/>
        <w:spacing w:after="0" w:line="240" w:lineRule="auto"/>
        <w:ind w:left="792"/>
        <w:jc w:val="both"/>
      </w:pPr>
    </w:p>
    <w:p w14:paraId="646BFF11" w14:textId="782B929D" w:rsidR="00FB3907" w:rsidRDefault="00FB3907" w:rsidP="002618DF">
      <w:pPr>
        <w:pStyle w:val="Prrafodelista"/>
        <w:spacing w:after="0" w:line="240" w:lineRule="auto"/>
        <w:ind w:left="792"/>
        <w:jc w:val="both"/>
      </w:pPr>
      <w:r>
        <w:t xml:space="preserve">Es cierto que, </w:t>
      </w:r>
      <w:r w:rsidR="00940B31">
        <w:t>así</w:t>
      </w:r>
      <w:r>
        <w:t xml:space="preserve"> como LEICA tiene su propio formato de almacenamiento los demás equipos de otras marcas también tienen sus propios formatos de almacenamiento de la data geodésica. </w:t>
      </w:r>
      <w:r w:rsidR="00963F90">
        <w:t xml:space="preserve">Sin embargo, todos los equipos geodésicos modernos tienen obligatoriamente la posibilidad de almacenar en formato RINEX. </w:t>
      </w:r>
    </w:p>
    <w:p w14:paraId="04F9FDF5" w14:textId="77777777" w:rsidR="0094479A" w:rsidRDefault="0094479A" w:rsidP="00A54FE4">
      <w:pPr>
        <w:pStyle w:val="Prrafodelista"/>
        <w:ind w:left="792"/>
        <w:jc w:val="both"/>
      </w:pPr>
      <w:r>
        <w:rPr>
          <w:noProof/>
          <w:lang w:eastAsia="es-PE"/>
        </w:rPr>
        <w:drawing>
          <wp:anchor distT="0" distB="0" distL="114300" distR="114300" simplePos="0" relativeHeight="251665408" behindDoc="1" locked="0" layoutInCell="1" allowOverlap="1" wp14:anchorId="2B917971" wp14:editId="0F64F96E">
            <wp:simplePos x="0" y="0"/>
            <wp:positionH relativeFrom="column">
              <wp:posOffset>1560195</wp:posOffset>
            </wp:positionH>
            <wp:positionV relativeFrom="paragraph">
              <wp:posOffset>69215</wp:posOffset>
            </wp:positionV>
            <wp:extent cx="2710180" cy="2504440"/>
            <wp:effectExtent l="0" t="0" r="0" b="0"/>
            <wp:wrapTight wrapText="bothSides">
              <wp:wrapPolygon edited="0">
                <wp:start x="0" y="0"/>
                <wp:lineTo x="0" y="21359"/>
                <wp:lineTo x="21408" y="21359"/>
                <wp:lineTo x="2140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0180" cy="250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06278" w14:textId="77777777" w:rsidR="0094479A" w:rsidRDefault="0094479A" w:rsidP="00A54FE4">
      <w:pPr>
        <w:pStyle w:val="Prrafodelista"/>
        <w:ind w:left="792"/>
        <w:jc w:val="both"/>
      </w:pPr>
    </w:p>
    <w:p w14:paraId="0F1E4D7E" w14:textId="77777777" w:rsidR="0094479A" w:rsidRDefault="0094479A" w:rsidP="00A54FE4">
      <w:pPr>
        <w:pStyle w:val="Prrafodelista"/>
        <w:ind w:left="792"/>
        <w:jc w:val="both"/>
      </w:pPr>
    </w:p>
    <w:p w14:paraId="188FA195" w14:textId="77777777" w:rsidR="0094479A" w:rsidRDefault="0094479A" w:rsidP="00A54FE4">
      <w:pPr>
        <w:pStyle w:val="Prrafodelista"/>
        <w:ind w:left="792"/>
        <w:jc w:val="both"/>
      </w:pPr>
    </w:p>
    <w:p w14:paraId="59369D8E" w14:textId="77777777" w:rsidR="0094479A" w:rsidRDefault="0094479A" w:rsidP="00A54FE4">
      <w:pPr>
        <w:pStyle w:val="Prrafodelista"/>
        <w:ind w:left="792"/>
        <w:jc w:val="both"/>
      </w:pPr>
    </w:p>
    <w:p w14:paraId="1F4734EB" w14:textId="77777777" w:rsidR="0094479A" w:rsidRDefault="0094479A" w:rsidP="00A54FE4">
      <w:pPr>
        <w:pStyle w:val="Prrafodelista"/>
        <w:ind w:left="792"/>
        <w:jc w:val="both"/>
      </w:pPr>
    </w:p>
    <w:p w14:paraId="09C5D72B" w14:textId="77777777" w:rsidR="0094479A" w:rsidRDefault="0094479A" w:rsidP="00A54FE4">
      <w:pPr>
        <w:pStyle w:val="Prrafodelista"/>
        <w:ind w:left="792"/>
        <w:jc w:val="both"/>
      </w:pPr>
    </w:p>
    <w:p w14:paraId="05DC3E27" w14:textId="77777777" w:rsidR="0094479A" w:rsidRDefault="0094479A" w:rsidP="00A54FE4">
      <w:pPr>
        <w:pStyle w:val="Prrafodelista"/>
        <w:ind w:left="792"/>
        <w:jc w:val="both"/>
      </w:pPr>
    </w:p>
    <w:p w14:paraId="6D49141D" w14:textId="77777777" w:rsidR="0094479A" w:rsidRDefault="0094479A" w:rsidP="00A54FE4">
      <w:pPr>
        <w:pStyle w:val="Prrafodelista"/>
        <w:ind w:left="792"/>
        <w:jc w:val="both"/>
      </w:pPr>
    </w:p>
    <w:p w14:paraId="27959459" w14:textId="77777777" w:rsidR="0094479A" w:rsidRDefault="0094479A" w:rsidP="00A54FE4">
      <w:pPr>
        <w:pStyle w:val="Prrafodelista"/>
        <w:ind w:left="792"/>
        <w:jc w:val="both"/>
      </w:pPr>
    </w:p>
    <w:p w14:paraId="3068DEE5" w14:textId="77777777" w:rsidR="0094479A" w:rsidRDefault="0094479A" w:rsidP="00A54FE4">
      <w:pPr>
        <w:pStyle w:val="Prrafodelista"/>
        <w:ind w:left="792"/>
        <w:jc w:val="both"/>
      </w:pPr>
    </w:p>
    <w:p w14:paraId="423BB263" w14:textId="77777777" w:rsidR="0094479A" w:rsidRDefault="0094479A" w:rsidP="00A54FE4">
      <w:pPr>
        <w:pStyle w:val="Prrafodelista"/>
        <w:ind w:left="792"/>
        <w:jc w:val="both"/>
      </w:pPr>
    </w:p>
    <w:p w14:paraId="0737467A" w14:textId="77777777" w:rsidR="0094479A" w:rsidRDefault="0094479A" w:rsidP="00A54FE4">
      <w:pPr>
        <w:pStyle w:val="Prrafodelista"/>
        <w:ind w:left="792"/>
        <w:jc w:val="both"/>
      </w:pPr>
    </w:p>
    <w:p w14:paraId="6E9766DF" w14:textId="77777777" w:rsidR="0094479A" w:rsidRDefault="0094479A" w:rsidP="00A54FE4">
      <w:pPr>
        <w:pStyle w:val="Prrafodelista"/>
        <w:ind w:left="792"/>
        <w:jc w:val="both"/>
      </w:pPr>
    </w:p>
    <w:p w14:paraId="41526DD3" w14:textId="77777777" w:rsidR="0094479A" w:rsidRDefault="0094479A" w:rsidP="00A54FE4">
      <w:pPr>
        <w:pStyle w:val="Prrafodelista"/>
        <w:ind w:left="792"/>
        <w:jc w:val="both"/>
      </w:pPr>
    </w:p>
    <w:p w14:paraId="00C85CC0" w14:textId="77777777" w:rsidR="00A54FE4" w:rsidRDefault="00A54FE4" w:rsidP="002618DF">
      <w:pPr>
        <w:pStyle w:val="Prrafodelista"/>
        <w:spacing w:after="0" w:line="240" w:lineRule="auto"/>
        <w:ind w:left="794"/>
        <w:jc w:val="both"/>
      </w:pPr>
      <w:r w:rsidRPr="00A54FE4">
        <w:t xml:space="preserve">RINEX son las siglas en inglés de "Receiver </w:t>
      </w:r>
      <w:proofErr w:type="spellStart"/>
      <w:r w:rsidRPr="00A54FE4">
        <w:t>INdependent</w:t>
      </w:r>
      <w:proofErr w:type="spellEnd"/>
      <w:r w:rsidRPr="00A54FE4">
        <w:t xml:space="preserve"> </w:t>
      </w:r>
      <w:proofErr w:type="spellStart"/>
      <w:r w:rsidRPr="00A54FE4">
        <w:t>EXchange</w:t>
      </w:r>
      <w:proofErr w:type="spellEnd"/>
      <w:r w:rsidRPr="00A54FE4">
        <w:t>". Se trata de un formato de ficheros de texto orientado a almacenar, de manera estandarizada, medidas proporcionadas por receptores de sistemas de navegación por satélite, como GPS, GLONASS, EGNOS, WAAS o Galileo.</w:t>
      </w:r>
    </w:p>
    <w:p w14:paraId="219AD5B8" w14:textId="09A799A9" w:rsidR="0094479A" w:rsidRDefault="0094479A" w:rsidP="002618DF">
      <w:pPr>
        <w:pStyle w:val="Prrafodelista"/>
        <w:spacing w:after="0" w:line="240" w:lineRule="auto"/>
        <w:ind w:left="794"/>
        <w:jc w:val="both"/>
      </w:pPr>
    </w:p>
    <w:p w14:paraId="7DBEA8D4" w14:textId="73C6C923" w:rsidR="00660795" w:rsidRDefault="00660795" w:rsidP="002618DF">
      <w:pPr>
        <w:pStyle w:val="Prrafodelista"/>
        <w:spacing w:after="0" w:line="240" w:lineRule="auto"/>
        <w:ind w:left="794"/>
        <w:jc w:val="both"/>
        <w:rPr>
          <w:b/>
          <w:i/>
        </w:rPr>
      </w:pPr>
      <w:r w:rsidRPr="00660795">
        <w:rPr>
          <w:b/>
        </w:rPr>
        <w:t>RECOMENDACIÓN:</w:t>
      </w:r>
      <w:r>
        <w:t xml:space="preserve"> </w:t>
      </w:r>
      <w:r w:rsidR="00BB121E">
        <w:t xml:space="preserve">Por lo expuesto </w:t>
      </w:r>
      <w:r w:rsidR="002618DF">
        <w:t xml:space="preserve">se aclara que se considerar </w:t>
      </w:r>
      <w:r>
        <w:t xml:space="preserve">en los TR lo siguiente </w:t>
      </w:r>
      <w:r w:rsidRPr="00660795">
        <w:rPr>
          <w:b/>
          <w:i/>
        </w:rPr>
        <w:t>¨Las ERP deben almacenar los datos geodésicos al menos en formato RINEX¨</w:t>
      </w:r>
      <w:r>
        <w:rPr>
          <w:b/>
          <w:i/>
        </w:rPr>
        <w:t>.</w:t>
      </w:r>
    </w:p>
    <w:p w14:paraId="09CBDF67" w14:textId="6D462824" w:rsidR="00043B86" w:rsidRDefault="00043B86" w:rsidP="002618DF">
      <w:pPr>
        <w:pStyle w:val="Prrafodelista"/>
        <w:spacing w:after="0" w:line="240" w:lineRule="auto"/>
        <w:ind w:left="794"/>
        <w:jc w:val="both"/>
        <w:rPr>
          <w:b/>
          <w:i/>
        </w:rPr>
      </w:pPr>
    </w:p>
    <w:p w14:paraId="4C05AE83" w14:textId="0498F8F6" w:rsidR="00A54FE4" w:rsidRDefault="00A54FE4" w:rsidP="002618DF">
      <w:pPr>
        <w:pStyle w:val="Prrafodelista"/>
        <w:spacing w:after="0" w:line="240" w:lineRule="auto"/>
        <w:ind w:left="794"/>
        <w:jc w:val="both"/>
        <w:rPr>
          <w:b/>
        </w:rPr>
      </w:pPr>
      <w:r w:rsidRPr="00940B31">
        <w:rPr>
          <w:b/>
        </w:rPr>
        <w:t>FORMATOS DE CORRECCIONES.</w:t>
      </w:r>
    </w:p>
    <w:p w14:paraId="4B94C44B" w14:textId="036878FC" w:rsidR="00420C80" w:rsidRDefault="00046F50" w:rsidP="002618DF">
      <w:pPr>
        <w:pStyle w:val="Prrafodelista"/>
        <w:spacing w:after="0" w:line="240" w:lineRule="auto"/>
        <w:ind w:left="794"/>
        <w:jc w:val="both"/>
      </w:pPr>
      <w:r>
        <w:rPr>
          <w:noProof/>
          <w:lang w:eastAsia="es-PE"/>
        </w:rPr>
        <w:lastRenderedPageBreak/>
        <w:drawing>
          <wp:anchor distT="0" distB="0" distL="114300" distR="114300" simplePos="0" relativeHeight="251668480" behindDoc="1" locked="0" layoutInCell="1" allowOverlap="1" wp14:anchorId="3118045F" wp14:editId="46347F6C">
            <wp:simplePos x="0" y="0"/>
            <wp:positionH relativeFrom="column">
              <wp:posOffset>-669290</wp:posOffset>
            </wp:positionH>
            <wp:positionV relativeFrom="paragraph">
              <wp:posOffset>605155</wp:posOffset>
            </wp:positionV>
            <wp:extent cx="6834505" cy="2239645"/>
            <wp:effectExtent l="0" t="0" r="4445" b="8255"/>
            <wp:wrapTight wrapText="bothSides">
              <wp:wrapPolygon edited="0">
                <wp:start x="0" y="0"/>
                <wp:lineTo x="0" y="21496"/>
                <wp:lineTo x="21554" y="21496"/>
                <wp:lineTo x="2155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4505" cy="223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C80">
        <w:t xml:space="preserve">En cuanto al formato de correcciones mencionan (como se puede ver en la imagen siguiente) que RTCM 3.1 </w:t>
      </w:r>
      <w:r w:rsidR="005120E0">
        <w:t>(</w:t>
      </w:r>
      <w:r w:rsidR="00420C80">
        <w:t xml:space="preserve">SOLO TIENE LA MARCA </w:t>
      </w:r>
      <w:proofErr w:type="gramStart"/>
      <w:r w:rsidR="00420C80">
        <w:t xml:space="preserve">TRIMBLE </w:t>
      </w:r>
      <w:r w:rsidR="005120E0">
        <w:t>)</w:t>
      </w:r>
      <w:proofErr w:type="gramEnd"/>
      <w:r w:rsidR="005120E0">
        <w:t xml:space="preserve"> </w:t>
      </w:r>
      <w:r w:rsidR="00420C80">
        <w:t xml:space="preserve">y RTCM 3.x </w:t>
      </w:r>
      <w:r w:rsidR="005120E0">
        <w:t>(SOLO TIENE LA MARCA TRIMBLE )</w:t>
      </w:r>
      <w:r w:rsidR="00940B31">
        <w:t xml:space="preserve"> </w:t>
      </w:r>
      <w:r w:rsidR="00940B31" w:rsidRPr="00940B31">
        <w:rPr>
          <w:i/>
        </w:rPr>
        <w:t>(Ver imagen siguiente)</w:t>
      </w:r>
      <w:r w:rsidR="005120E0" w:rsidRPr="00940B31">
        <w:rPr>
          <w:i/>
        </w:rPr>
        <w:t>.</w:t>
      </w:r>
      <w:r w:rsidR="005120E0">
        <w:t xml:space="preserve"> </w:t>
      </w:r>
    </w:p>
    <w:p w14:paraId="1AA1F147" w14:textId="30E6055C" w:rsidR="00420C80" w:rsidRDefault="005120E0" w:rsidP="00046F50">
      <w:pPr>
        <w:pStyle w:val="Prrafodelista"/>
        <w:ind w:left="0"/>
        <w:jc w:val="both"/>
        <w:rPr>
          <w:noProof/>
          <w:lang w:eastAsia="es-PE"/>
        </w:rPr>
      </w:pPr>
      <w:r>
        <w:rPr>
          <w:noProof/>
          <w:lang w:eastAsia="es-PE"/>
        </w:rPr>
        <w:t xml:space="preserve"> </w:t>
      </w:r>
    </w:p>
    <w:p w14:paraId="2B7450CD" w14:textId="1B107622" w:rsidR="00F8416A" w:rsidRDefault="00F8416A" w:rsidP="00420C80">
      <w:pPr>
        <w:pStyle w:val="Prrafodelista"/>
        <w:ind w:left="792"/>
        <w:jc w:val="both"/>
        <w:rPr>
          <w:noProof/>
          <w:lang w:eastAsia="es-PE"/>
        </w:rPr>
      </w:pPr>
    </w:p>
    <w:p w14:paraId="663164A0" w14:textId="66C2E36A" w:rsidR="005120E0" w:rsidRDefault="005120E0" w:rsidP="00420C80">
      <w:pPr>
        <w:pStyle w:val="Prrafodelista"/>
        <w:ind w:left="792"/>
        <w:jc w:val="both"/>
      </w:pPr>
      <w:r>
        <w:t>Debo informarle que inclusive el equipo marca LEICA cumplen con este requerimiento.</w:t>
      </w:r>
      <w:r w:rsidR="00F8416A">
        <w:t xml:space="preserve"> </w:t>
      </w:r>
      <w:r w:rsidR="00F8416A" w:rsidRPr="00F8416A">
        <w:rPr>
          <w:i/>
        </w:rPr>
        <w:t>(Ver imagen siguiente)</w:t>
      </w:r>
      <w:r>
        <w:t xml:space="preserve"> </w:t>
      </w:r>
      <w:r w:rsidR="00C1557E">
        <w:t>RTCM es</w:t>
      </w:r>
      <w:r>
        <w:t xml:space="preserve"> un estándar internacional para la transmisión de correcciones </w:t>
      </w:r>
      <w:r w:rsidR="00C1557E">
        <w:t>geodésicas. Por lo tanto igual que el formato RINEX, el formato RTCM cuentan todos los equipos geodésicos modernos</w:t>
      </w:r>
    </w:p>
    <w:p w14:paraId="75D86581" w14:textId="77777777" w:rsidR="005120E0" w:rsidRDefault="005120E0" w:rsidP="00420C80">
      <w:pPr>
        <w:pStyle w:val="Prrafodelista"/>
        <w:ind w:left="792"/>
        <w:jc w:val="both"/>
      </w:pPr>
    </w:p>
    <w:p w14:paraId="39481206" w14:textId="405F0F42" w:rsidR="005120E0" w:rsidRDefault="00B55389" w:rsidP="00046F50">
      <w:pPr>
        <w:pStyle w:val="Prrafodelista"/>
        <w:ind w:left="0"/>
        <w:jc w:val="both"/>
      </w:pPr>
      <w:r>
        <w:rPr>
          <w:noProof/>
          <w:lang w:eastAsia="es-PE"/>
        </w:rPr>
        <w:lastRenderedPageBreak/>
        <w:drawing>
          <wp:inline distT="0" distB="0" distL="0" distR="0" wp14:anchorId="4F97E554" wp14:editId="0F35953C">
            <wp:extent cx="6304665" cy="4916091"/>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1694" cy="5069725"/>
                    </a:xfrm>
                    <a:prstGeom prst="rect">
                      <a:avLst/>
                    </a:prstGeom>
                    <a:noFill/>
                    <a:ln>
                      <a:noFill/>
                    </a:ln>
                  </pic:spPr>
                </pic:pic>
              </a:graphicData>
            </a:graphic>
          </wp:inline>
        </w:drawing>
      </w:r>
    </w:p>
    <w:p w14:paraId="19D9352A" w14:textId="77777777" w:rsidR="00724431" w:rsidRDefault="00724431" w:rsidP="00420C80">
      <w:pPr>
        <w:pStyle w:val="Prrafodelista"/>
        <w:ind w:left="792"/>
        <w:jc w:val="both"/>
      </w:pPr>
    </w:p>
    <w:p w14:paraId="178BEFE1" w14:textId="7D6D46E8" w:rsidR="002618DF" w:rsidRPr="002618DF" w:rsidRDefault="002618DF" w:rsidP="002618DF">
      <w:pPr>
        <w:spacing w:after="0" w:line="240" w:lineRule="auto"/>
        <w:jc w:val="both"/>
        <w:rPr>
          <w:b/>
          <w:i/>
          <w:u w:val="single"/>
        </w:rPr>
      </w:pPr>
      <w:r w:rsidRPr="002618DF">
        <w:rPr>
          <w:b/>
          <w:i/>
          <w:u w:val="single"/>
        </w:rPr>
        <w:t>Aclaración N° 0</w:t>
      </w:r>
      <w:r>
        <w:rPr>
          <w:b/>
          <w:i/>
          <w:u w:val="single"/>
        </w:rPr>
        <w:t>3</w:t>
      </w:r>
      <w:r w:rsidRPr="002618DF">
        <w:rPr>
          <w:b/>
          <w:i/>
          <w:u w:val="single"/>
        </w:rPr>
        <w:t xml:space="preserve"> </w:t>
      </w:r>
    </w:p>
    <w:p w14:paraId="596CB1F3" w14:textId="46548F02" w:rsidR="001415A1" w:rsidRDefault="00BB121E" w:rsidP="002618DF">
      <w:pPr>
        <w:pStyle w:val="Prrafodelista"/>
        <w:spacing w:after="0" w:line="240" w:lineRule="auto"/>
        <w:ind w:left="0"/>
        <w:jc w:val="both"/>
      </w:pPr>
      <w:r>
        <w:t>En cuanto a la observación de la característica ENTORNO DEL RECEPTOR</w:t>
      </w:r>
      <w:r w:rsidR="000C675A">
        <w:t xml:space="preserve">, la exigencia de </w:t>
      </w:r>
      <w:r w:rsidR="00692B87">
        <w:t xml:space="preserve">la firma </w:t>
      </w:r>
      <w:r w:rsidR="000C675A">
        <w:t xml:space="preserve">  no tiene sustento teniendo en consideración que las Especificaciones </w:t>
      </w:r>
      <w:r w:rsidR="00F8416A">
        <w:t>Técnicas</w:t>
      </w:r>
      <w:r w:rsidR="000C675A">
        <w:t xml:space="preserve"> correspondiente menciona lo siguiente: </w:t>
      </w:r>
    </w:p>
    <w:p w14:paraId="07619067" w14:textId="77777777" w:rsidR="00F8416A" w:rsidRDefault="00F8416A" w:rsidP="002618DF">
      <w:pPr>
        <w:pStyle w:val="Prrafodelista"/>
        <w:spacing w:after="0" w:line="240" w:lineRule="auto"/>
        <w:ind w:left="0"/>
        <w:jc w:val="both"/>
      </w:pPr>
    </w:p>
    <w:p w14:paraId="04229BD2" w14:textId="3A8367D9" w:rsidR="000C675A" w:rsidRDefault="000C675A" w:rsidP="002618DF">
      <w:pPr>
        <w:pStyle w:val="Prrafodelista"/>
        <w:spacing w:after="0" w:line="240" w:lineRule="auto"/>
        <w:ind w:left="0"/>
        <w:rPr>
          <w:b/>
        </w:rPr>
      </w:pPr>
      <w:r w:rsidRPr="00E84FDE">
        <w:rPr>
          <w:b/>
        </w:rPr>
        <w:t xml:space="preserve">La temperatura de almacenamiento: En el rango de – 40 °C  a + 85 °C </w:t>
      </w:r>
    </w:p>
    <w:p w14:paraId="5E33D189" w14:textId="04FA6F95" w:rsidR="00E84FDE" w:rsidRDefault="00E84FDE" w:rsidP="002618DF">
      <w:pPr>
        <w:pStyle w:val="Prrafodelista"/>
        <w:spacing w:after="0" w:line="240" w:lineRule="auto"/>
        <w:ind w:left="0"/>
        <w:rPr>
          <w:b/>
        </w:rPr>
      </w:pPr>
    </w:p>
    <w:p w14:paraId="16974F71" w14:textId="0C7D464B" w:rsidR="00E84FDE" w:rsidRPr="00E84FDE" w:rsidRDefault="00E84FDE" w:rsidP="002618DF">
      <w:pPr>
        <w:pStyle w:val="Prrafodelista"/>
        <w:spacing w:after="0" w:line="240" w:lineRule="auto"/>
        <w:ind w:left="0"/>
        <w:rPr>
          <w:b/>
        </w:rPr>
      </w:pPr>
      <w:r>
        <w:rPr>
          <w:b/>
        </w:rPr>
        <w:t xml:space="preserve">Recomendación: </w:t>
      </w:r>
      <w:r w:rsidR="00E6414C">
        <w:t>inform</w:t>
      </w:r>
      <w:r w:rsidR="00692B87">
        <w:t>ar</w:t>
      </w:r>
      <w:r w:rsidR="00E6414C">
        <w:t xml:space="preserve"> en el </w:t>
      </w:r>
      <w:r>
        <w:rPr>
          <w:b/>
        </w:rPr>
        <w:t xml:space="preserve"> ¨Entorno del Receptor¨ </w:t>
      </w:r>
      <w:r w:rsidR="00E6414C">
        <w:t>d</w:t>
      </w:r>
      <w:r w:rsidRPr="00E84FDE">
        <w:t xml:space="preserve">el </w:t>
      </w:r>
      <w:r>
        <w:rPr>
          <w:b/>
        </w:rPr>
        <w:t xml:space="preserve">párrafo 4.1 </w:t>
      </w:r>
      <w:r w:rsidRPr="00E84FDE">
        <w:t>de</w:t>
      </w:r>
      <w:r>
        <w:rPr>
          <w:b/>
        </w:rPr>
        <w:t xml:space="preserve"> 4 ESPECIFICACIONES TECNICAS DEL BIEN Y SERVICIOS CONEXOS.</w:t>
      </w:r>
    </w:p>
    <w:p w14:paraId="42189410" w14:textId="77777777" w:rsidR="000C675A" w:rsidRDefault="000C675A" w:rsidP="002618DF">
      <w:pPr>
        <w:pStyle w:val="Prrafodelista"/>
        <w:spacing w:after="0" w:line="240" w:lineRule="auto"/>
        <w:ind w:left="0"/>
      </w:pPr>
    </w:p>
    <w:p w14:paraId="571A82D1" w14:textId="2E7EA444" w:rsidR="00E6414C" w:rsidRDefault="00E6414C" w:rsidP="002618DF">
      <w:pPr>
        <w:pStyle w:val="Prrafodelista"/>
        <w:spacing w:after="0" w:line="240" w:lineRule="auto"/>
        <w:ind w:left="0"/>
        <w:rPr>
          <w:noProof/>
          <w:lang w:eastAsia="es-PE"/>
        </w:rPr>
      </w:pPr>
    </w:p>
    <w:p w14:paraId="057091CA" w14:textId="77777777" w:rsidR="00692B87" w:rsidRDefault="000C675A" w:rsidP="00692B87">
      <w:pPr>
        <w:pStyle w:val="Prrafodelista"/>
        <w:spacing w:after="0" w:line="240" w:lineRule="auto"/>
        <w:ind w:left="0"/>
      </w:pPr>
      <w:r>
        <w:rPr>
          <w:noProof/>
          <w:lang w:eastAsia="es-PE"/>
        </w:rPr>
        <w:drawing>
          <wp:inline distT="0" distB="0" distL="0" distR="0" wp14:anchorId="01EAE9B3" wp14:editId="11CEB115">
            <wp:extent cx="5373124" cy="143466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595" cy="1440663"/>
                    </a:xfrm>
                    <a:prstGeom prst="rect">
                      <a:avLst/>
                    </a:prstGeom>
                    <a:noFill/>
                    <a:ln>
                      <a:noFill/>
                    </a:ln>
                  </pic:spPr>
                </pic:pic>
              </a:graphicData>
            </a:graphic>
          </wp:inline>
        </w:drawing>
      </w:r>
    </w:p>
    <w:p w14:paraId="688A6BCB" w14:textId="77777777" w:rsidR="00692B87" w:rsidRDefault="00692B87" w:rsidP="00692B87">
      <w:pPr>
        <w:pStyle w:val="Prrafodelista"/>
        <w:spacing w:after="0" w:line="240" w:lineRule="auto"/>
        <w:ind w:left="0"/>
      </w:pPr>
    </w:p>
    <w:p w14:paraId="14B73D31" w14:textId="77777777" w:rsidR="00692B87" w:rsidRDefault="00692B87" w:rsidP="00692B87">
      <w:pPr>
        <w:spacing w:after="0" w:line="240" w:lineRule="auto"/>
        <w:jc w:val="both"/>
        <w:rPr>
          <w:b/>
          <w:i/>
          <w:u w:val="single"/>
        </w:rPr>
      </w:pPr>
    </w:p>
    <w:p w14:paraId="025BADEF" w14:textId="4A1B4F1F" w:rsidR="00692B87" w:rsidRPr="002618DF" w:rsidRDefault="00692B87" w:rsidP="00692B87">
      <w:pPr>
        <w:spacing w:after="0" w:line="240" w:lineRule="auto"/>
        <w:jc w:val="both"/>
        <w:rPr>
          <w:b/>
          <w:i/>
          <w:u w:val="single"/>
        </w:rPr>
      </w:pPr>
      <w:r w:rsidRPr="002618DF">
        <w:rPr>
          <w:b/>
          <w:i/>
          <w:u w:val="single"/>
        </w:rPr>
        <w:lastRenderedPageBreak/>
        <w:t>Aclaración N° 0</w:t>
      </w:r>
      <w:r>
        <w:rPr>
          <w:b/>
          <w:i/>
          <w:u w:val="single"/>
        </w:rPr>
        <w:t>4</w:t>
      </w:r>
      <w:r w:rsidRPr="002618DF">
        <w:rPr>
          <w:b/>
          <w:i/>
          <w:u w:val="single"/>
        </w:rPr>
        <w:t xml:space="preserve"> </w:t>
      </w:r>
    </w:p>
    <w:p w14:paraId="5850D6A6" w14:textId="2E4610DB" w:rsidR="000C675A" w:rsidRDefault="00E84FDE" w:rsidP="00692B87">
      <w:pPr>
        <w:pStyle w:val="Prrafodelista"/>
        <w:spacing w:after="0" w:line="240" w:lineRule="auto"/>
        <w:ind w:left="0"/>
      </w:pPr>
      <w:r>
        <w:t xml:space="preserve">El representante de </w:t>
      </w:r>
      <w:r w:rsidR="00692B87">
        <w:t xml:space="preserve">la firma </w:t>
      </w:r>
      <w:r>
        <w:t xml:space="preserve">en </w:t>
      </w:r>
      <w:r w:rsidR="00E6414C">
        <w:t>la columna observación</w:t>
      </w:r>
      <w:r>
        <w:t xml:space="preserve"> de las demás características, </w:t>
      </w:r>
      <w:r w:rsidR="00E6414C">
        <w:t>solicita lo</w:t>
      </w:r>
      <w:r>
        <w:t xml:space="preserve"> siguiente ¨SE PIDE ACLARAR EL SOFTWARE REGPMOC¨. Sobre el particular debo </w:t>
      </w:r>
      <w:r w:rsidR="00C1557E">
        <w:t xml:space="preserve">informarle </w:t>
      </w:r>
      <w:r>
        <w:t>lo siguiente</w:t>
      </w:r>
      <w:r w:rsidR="003222EB">
        <w:t xml:space="preserve"> a fin de aclarar sobre el software REGPMOC</w:t>
      </w:r>
      <w:r>
        <w:t>:</w:t>
      </w:r>
    </w:p>
    <w:p w14:paraId="6F06F412" w14:textId="77777777" w:rsidR="00940B31" w:rsidRDefault="00940B31" w:rsidP="002618DF">
      <w:pPr>
        <w:pStyle w:val="Prrafodelista"/>
        <w:spacing w:after="0" w:line="240" w:lineRule="auto"/>
        <w:ind w:left="0"/>
        <w:jc w:val="both"/>
      </w:pPr>
    </w:p>
    <w:p w14:paraId="5CC9AB6D" w14:textId="78CE4548" w:rsidR="00CF14CA" w:rsidRDefault="00CF14CA" w:rsidP="002618DF">
      <w:pPr>
        <w:pStyle w:val="Prrafodelista"/>
        <w:numPr>
          <w:ilvl w:val="1"/>
          <w:numId w:val="1"/>
        </w:numPr>
        <w:spacing w:after="0" w:line="240" w:lineRule="auto"/>
        <w:ind w:left="567" w:hanging="567"/>
        <w:jc w:val="both"/>
      </w:pPr>
      <w:r w:rsidRPr="00E6414C">
        <w:t xml:space="preserve">Durante la ejecución del Proyecto Consolidación de los Derechos de Propiedad Inmueble (PCDPI), que fue administrado por el Organismo de Formalización de la Propiedad Informal-COFOPRI en alianza con la Superintendencia Nacional de los Registros Públicos (SUNARP) y con el Instituto Geográfico Nacional (IGN); contando con el financiamiento del Banco Internacional de Reconstrucción y Fomento (BIRF) del Grupo Banco Mundial (Contrato de Préstamo N° 7368-PE, del 3 de noviembre del 2006), mediante un PROCESO COMPETITIVO realizado a través de una Licitación Internacional se adquirió inicialmente 05 estaciones receptoras permanentes modelo NETR5 y en un segundo PROCESO COMPETITIVO se compró 40 estaciones receptoras permanentes modelo NETR8 </w:t>
      </w:r>
    </w:p>
    <w:p w14:paraId="1C44C6FB" w14:textId="77777777" w:rsidR="00940B31" w:rsidRPr="00E6414C" w:rsidRDefault="00940B31" w:rsidP="002618DF">
      <w:pPr>
        <w:pStyle w:val="Prrafodelista"/>
        <w:spacing w:after="0" w:line="240" w:lineRule="auto"/>
        <w:ind w:left="567"/>
        <w:jc w:val="both"/>
      </w:pPr>
    </w:p>
    <w:p w14:paraId="28F15CA1" w14:textId="60B5A1FF" w:rsidR="00C1557E" w:rsidRDefault="00CF14CA" w:rsidP="002618DF">
      <w:pPr>
        <w:pStyle w:val="Prrafodelista"/>
        <w:numPr>
          <w:ilvl w:val="1"/>
          <w:numId w:val="1"/>
        </w:numPr>
        <w:spacing w:after="0" w:line="240" w:lineRule="auto"/>
        <w:ind w:left="567" w:hanging="567"/>
        <w:jc w:val="both"/>
      </w:pPr>
      <w:r w:rsidRPr="00E6414C">
        <w:t xml:space="preserve">Para administrar esta red de 45 estaciones GNSS se </w:t>
      </w:r>
      <w:r w:rsidR="00706886" w:rsidRPr="00E6414C">
        <w:t xml:space="preserve">adquirió </w:t>
      </w:r>
      <w:r w:rsidR="00C1557E" w:rsidRPr="00E6414C">
        <w:t>el software</w:t>
      </w:r>
      <w:r w:rsidRPr="00E6414C">
        <w:t xml:space="preserve"> GPSNET 2.73 para controlar las 45 estaciones receptoras permanentes que </w:t>
      </w:r>
      <w:r w:rsidR="00F82B52" w:rsidRPr="00E6414C">
        <w:t>conforma la</w:t>
      </w:r>
      <w:r w:rsidRPr="00E6414C">
        <w:t xml:space="preserve"> Red Geodésica Peruana de Monitoreo Continuo – REGPMOC que por su naturaleza permanente funciona todos los días del año y las 24 horas integrada en una sola red. </w:t>
      </w:r>
    </w:p>
    <w:p w14:paraId="791900EA" w14:textId="77777777" w:rsidR="00C1557E" w:rsidRDefault="00C1557E" w:rsidP="002618DF">
      <w:pPr>
        <w:pStyle w:val="Prrafodelista"/>
        <w:spacing w:after="0" w:line="240" w:lineRule="auto"/>
      </w:pPr>
    </w:p>
    <w:p w14:paraId="6BA020D8" w14:textId="690145F3" w:rsidR="00C1557E" w:rsidRDefault="00C1557E" w:rsidP="002618DF">
      <w:pPr>
        <w:pStyle w:val="Prrafodelista"/>
        <w:spacing w:after="0" w:line="240" w:lineRule="auto"/>
        <w:ind w:left="567"/>
        <w:jc w:val="both"/>
      </w:pPr>
      <w:r w:rsidRPr="00E6414C">
        <w:rPr>
          <w:noProof/>
          <w:lang w:eastAsia="es-PE"/>
        </w:rPr>
        <w:drawing>
          <wp:inline distT="0" distB="0" distL="0" distR="0" wp14:anchorId="70E56C44" wp14:editId="028D22FE">
            <wp:extent cx="4923810" cy="2987748"/>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8323" cy="3002622"/>
                    </a:xfrm>
                    <a:prstGeom prst="rect">
                      <a:avLst/>
                    </a:prstGeom>
                    <a:noFill/>
                    <a:ln>
                      <a:noFill/>
                    </a:ln>
                  </pic:spPr>
                </pic:pic>
              </a:graphicData>
            </a:graphic>
          </wp:inline>
        </w:drawing>
      </w:r>
    </w:p>
    <w:p w14:paraId="4E7B54F2" w14:textId="77777777" w:rsidR="00C1557E" w:rsidRDefault="00C1557E" w:rsidP="002618DF">
      <w:pPr>
        <w:pStyle w:val="Prrafodelista"/>
        <w:spacing w:after="0" w:line="240" w:lineRule="auto"/>
      </w:pPr>
    </w:p>
    <w:p w14:paraId="74BF1E02" w14:textId="42B115ED" w:rsidR="00FB3907" w:rsidRPr="00E6414C" w:rsidRDefault="00C1557E" w:rsidP="002618DF">
      <w:pPr>
        <w:spacing w:after="0" w:line="240" w:lineRule="auto"/>
        <w:ind w:left="567"/>
        <w:jc w:val="both"/>
      </w:pPr>
      <w:r>
        <w:t>Actualmente, esta</w:t>
      </w:r>
      <w:r w:rsidR="00CF14CA" w:rsidRPr="00E6414C">
        <w:t xml:space="preserve"> proceso de adquisición de la actualización (UPGRADE ) del software GPSNET 2.73 al software PIVOT.</w:t>
      </w:r>
    </w:p>
    <w:p w14:paraId="71B6980F" w14:textId="2FDDB723" w:rsidR="00FB3907" w:rsidRPr="00E6414C" w:rsidRDefault="00FB3907" w:rsidP="002618DF">
      <w:pPr>
        <w:pStyle w:val="Prrafodelista"/>
        <w:spacing w:after="0" w:line="240" w:lineRule="auto"/>
        <w:ind w:left="792"/>
        <w:jc w:val="both"/>
      </w:pPr>
      <w:r w:rsidRPr="00E6414C">
        <w:t xml:space="preserve"> </w:t>
      </w:r>
    </w:p>
    <w:p w14:paraId="68E5A115" w14:textId="14FB6322" w:rsidR="00706886" w:rsidRDefault="00CF14CA" w:rsidP="002618DF">
      <w:pPr>
        <w:pStyle w:val="Prrafodelista"/>
        <w:numPr>
          <w:ilvl w:val="1"/>
          <w:numId w:val="1"/>
        </w:numPr>
        <w:spacing w:after="0" w:line="240" w:lineRule="auto"/>
        <w:ind w:left="567" w:hanging="567"/>
        <w:jc w:val="both"/>
      </w:pPr>
      <w:r w:rsidRPr="00E6414C">
        <w:t xml:space="preserve">Las 05 estaciones receptoras permanentes modelo NETR5, </w:t>
      </w:r>
      <w:r w:rsidR="00706886" w:rsidRPr="00E6414C">
        <w:t>por con</w:t>
      </w:r>
      <w:r w:rsidRPr="00E6414C">
        <w:t>siderarse</w:t>
      </w:r>
      <w:r w:rsidR="00706886" w:rsidRPr="00E6414C">
        <w:t xml:space="preserve"> obsoletas se requiere actualizar con nuevos equipos. Estos nuevos equipos deben de reemplazar y superar en las funcionabilidades del NETR5 y ser completamente interoperable en el entorno de la Red Geodésica Peruana de Monitoreo Continuo REG</w:t>
      </w:r>
      <w:r w:rsidR="00E6414C">
        <w:t xml:space="preserve">PMOC  en la cual </w:t>
      </w:r>
      <w:r w:rsidR="00B13A7C">
        <w:t xml:space="preserve">están </w:t>
      </w:r>
      <w:r w:rsidR="00E6414C">
        <w:t>trabajando.</w:t>
      </w:r>
    </w:p>
    <w:p w14:paraId="28AE11B8" w14:textId="77777777" w:rsidR="00940B31" w:rsidRPr="00E6414C" w:rsidRDefault="00940B31" w:rsidP="002618DF">
      <w:pPr>
        <w:pStyle w:val="Prrafodelista"/>
        <w:spacing w:after="0" w:line="240" w:lineRule="auto"/>
        <w:ind w:left="567"/>
        <w:jc w:val="both"/>
      </w:pPr>
    </w:p>
    <w:p w14:paraId="5FB95A44" w14:textId="5A4CF38A" w:rsidR="00706886" w:rsidRDefault="00706886" w:rsidP="002618DF">
      <w:pPr>
        <w:pStyle w:val="Prrafodelista"/>
        <w:numPr>
          <w:ilvl w:val="1"/>
          <w:numId w:val="1"/>
        </w:numPr>
        <w:spacing w:after="0" w:line="240" w:lineRule="auto"/>
        <w:ind w:left="567" w:hanging="567"/>
        <w:jc w:val="both"/>
      </w:pPr>
      <w:r w:rsidRPr="00E6414C">
        <w:t xml:space="preserve">La REGPMOC, funciona desde el año 2008 y está organizado en un Centro de Control en el local del IGN-LIMA y 45 Centros de administración descentralizadas distribuidas a nivel nacional.  El Centro de Control, tiene la responsabilidad de administrar de manera centralizada la información generada en las 45 ERP, realizan el procesamiento científico. </w:t>
      </w:r>
    </w:p>
    <w:p w14:paraId="64C8CA67" w14:textId="67C94E53" w:rsidR="00706886" w:rsidRDefault="00706886" w:rsidP="002618DF">
      <w:pPr>
        <w:pStyle w:val="Prrafodelista"/>
        <w:spacing w:after="0" w:line="240" w:lineRule="auto"/>
        <w:ind w:left="567"/>
        <w:jc w:val="both"/>
      </w:pPr>
      <w:r w:rsidRPr="00E6414C">
        <w:lastRenderedPageBreak/>
        <w:t xml:space="preserve">Los Centros de administración descentralizadas, distribuidas a nivel nacional en 45 ciudades, tienen la responsabilidad de administrar el mantenimiento preventivo que incluye la configuración de primer nivel de la estación receptora permanente, la conectividad, fuente de alimentación, seguridad, etc. </w:t>
      </w:r>
    </w:p>
    <w:p w14:paraId="30CEAFCD" w14:textId="77777777" w:rsidR="00F82B52" w:rsidRPr="00E6414C" w:rsidRDefault="00F82B52" w:rsidP="002618DF">
      <w:pPr>
        <w:pStyle w:val="Prrafodelista"/>
        <w:spacing w:after="0" w:line="240" w:lineRule="auto"/>
        <w:ind w:left="567"/>
        <w:jc w:val="both"/>
      </w:pPr>
    </w:p>
    <w:p w14:paraId="1EC4F006" w14:textId="7245E41E" w:rsidR="00CF14CA" w:rsidRPr="00E6414C" w:rsidRDefault="00706886" w:rsidP="002618DF">
      <w:pPr>
        <w:pStyle w:val="Prrafodelista"/>
        <w:numPr>
          <w:ilvl w:val="1"/>
          <w:numId w:val="1"/>
        </w:numPr>
        <w:spacing w:after="0" w:line="240" w:lineRule="auto"/>
        <w:ind w:left="567" w:hanging="567"/>
        <w:jc w:val="both"/>
      </w:pPr>
      <w:r w:rsidRPr="00E6414C">
        <w:t xml:space="preserve">La Red Geodésica Peruana de Monitoreo Continuo REGPMOC, </w:t>
      </w:r>
      <w:r w:rsidR="00CF14CA" w:rsidRPr="00E6414C">
        <w:t xml:space="preserve">tiene como objetivos institucionales los siguientes: </w:t>
      </w:r>
    </w:p>
    <w:p w14:paraId="0438E156" w14:textId="77777777" w:rsidR="00CF14CA" w:rsidRPr="00E6414C" w:rsidRDefault="00CF14CA" w:rsidP="002618DF">
      <w:pPr>
        <w:pStyle w:val="Prrafodelista"/>
        <w:numPr>
          <w:ilvl w:val="1"/>
          <w:numId w:val="5"/>
        </w:numPr>
        <w:spacing w:after="0" w:line="240" w:lineRule="auto"/>
        <w:ind w:hanging="225"/>
        <w:jc w:val="both"/>
      </w:pPr>
      <w:r w:rsidRPr="00E6414C">
        <w:t xml:space="preserve">Instalar el Virtual Reference </w:t>
      </w:r>
      <w:proofErr w:type="spellStart"/>
      <w:r w:rsidRPr="00E6414C">
        <w:t>Station</w:t>
      </w:r>
      <w:proofErr w:type="spellEnd"/>
      <w:r w:rsidRPr="00E6414C">
        <w:t xml:space="preserve"> VRS inicialmente en las ciudades de Lima (actualmente en funcionamiento), Arequipa, Piura.</w:t>
      </w:r>
    </w:p>
    <w:p w14:paraId="15295AD7" w14:textId="77777777" w:rsidR="00CF14CA" w:rsidRPr="00E6414C" w:rsidRDefault="00CF14CA" w:rsidP="002618DF">
      <w:pPr>
        <w:pStyle w:val="Prrafodelista"/>
        <w:numPr>
          <w:ilvl w:val="1"/>
          <w:numId w:val="5"/>
        </w:numPr>
        <w:spacing w:after="0" w:line="240" w:lineRule="auto"/>
        <w:ind w:hanging="225"/>
        <w:jc w:val="both"/>
      </w:pPr>
      <w:r w:rsidRPr="00E6414C">
        <w:t xml:space="preserve">Instalar el Virtual Reference </w:t>
      </w:r>
      <w:proofErr w:type="spellStart"/>
      <w:r w:rsidRPr="00E6414C">
        <w:t>Station</w:t>
      </w:r>
      <w:proofErr w:type="spellEnd"/>
      <w:r w:rsidRPr="00E6414C">
        <w:t xml:space="preserve"> VRS SPARCE a nivel nacional. </w:t>
      </w:r>
    </w:p>
    <w:p w14:paraId="6E8E9F3A" w14:textId="77777777" w:rsidR="00CF14CA" w:rsidRPr="00E6414C" w:rsidRDefault="00CF14CA" w:rsidP="002618DF">
      <w:pPr>
        <w:pStyle w:val="Prrafodelista"/>
        <w:numPr>
          <w:ilvl w:val="1"/>
          <w:numId w:val="5"/>
        </w:numPr>
        <w:spacing w:after="0" w:line="240" w:lineRule="auto"/>
        <w:ind w:hanging="225"/>
        <w:jc w:val="both"/>
      </w:pPr>
      <w:r w:rsidRPr="00E6414C">
        <w:t>Instalar una estación receptora permanente - ERP en cada provincia</w:t>
      </w:r>
    </w:p>
    <w:p w14:paraId="63F3F650" w14:textId="38EA9723" w:rsidR="00CF14CA" w:rsidRDefault="00CF14CA" w:rsidP="002618DF">
      <w:pPr>
        <w:pStyle w:val="Prrafodelista"/>
        <w:spacing w:after="0" w:line="240" w:lineRule="auto"/>
        <w:ind w:left="792"/>
        <w:jc w:val="both"/>
      </w:pPr>
    </w:p>
    <w:p w14:paraId="1AB4E4A5" w14:textId="28B459FF" w:rsidR="00940B31" w:rsidRDefault="00940B31" w:rsidP="002618DF">
      <w:pPr>
        <w:pStyle w:val="Prrafodelista"/>
        <w:spacing w:after="0" w:line="240" w:lineRule="auto"/>
        <w:ind w:left="792"/>
        <w:jc w:val="both"/>
      </w:pPr>
    </w:p>
    <w:p w14:paraId="6DF2E6F8" w14:textId="5BC3278D" w:rsidR="00BF23E7" w:rsidRDefault="00B13A7C" w:rsidP="00692B87">
      <w:pPr>
        <w:pStyle w:val="Prrafodelista"/>
        <w:spacing w:after="0" w:line="240" w:lineRule="auto"/>
        <w:ind w:left="0"/>
        <w:jc w:val="both"/>
      </w:pPr>
      <w:r>
        <w:t xml:space="preserve">Además, que las especificaciones técnicas </w:t>
      </w:r>
      <w:proofErr w:type="gramStart"/>
      <w:r>
        <w:t>fue</w:t>
      </w:r>
      <w:proofErr w:type="gramEnd"/>
      <w:r>
        <w:t xml:space="preserve"> remitida por el IGN, atendiendo a </w:t>
      </w:r>
      <w:r w:rsidR="00F8416A">
        <w:t>sus necesidades</w:t>
      </w:r>
      <w:r>
        <w:t xml:space="preserve"> y </w:t>
      </w:r>
      <w:r w:rsidR="00F8416A">
        <w:t>soluciones de</w:t>
      </w:r>
      <w:r>
        <w:t xml:space="preserve"> la  red  geodésica nacional con una infraestructura técnica desarrollada en los últimos 8 años. Sin embargo, se ha programado un proceso de prueba para determinar la interopertividad</w:t>
      </w:r>
      <w:r w:rsidR="00F8416A">
        <w:t xml:space="preserve"> de los equipos.</w:t>
      </w:r>
    </w:p>
    <w:p w14:paraId="2892ECAB" w14:textId="77777777" w:rsidR="00F8416A" w:rsidRDefault="00F8416A" w:rsidP="002618DF">
      <w:pPr>
        <w:pStyle w:val="Prrafodelista"/>
        <w:spacing w:after="0" w:line="240" w:lineRule="auto"/>
        <w:ind w:left="0" w:firstLine="792"/>
        <w:jc w:val="both"/>
      </w:pPr>
    </w:p>
    <w:p w14:paraId="5DDAD69B" w14:textId="40FDBF0C" w:rsidR="00692B87" w:rsidRPr="002618DF" w:rsidRDefault="00692B87" w:rsidP="00692B87">
      <w:pPr>
        <w:spacing w:after="0" w:line="240" w:lineRule="auto"/>
        <w:jc w:val="both"/>
        <w:rPr>
          <w:b/>
          <w:i/>
          <w:u w:val="single"/>
        </w:rPr>
      </w:pPr>
      <w:r w:rsidRPr="002618DF">
        <w:rPr>
          <w:b/>
          <w:i/>
          <w:u w:val="single"/>
        </w:rPr>
        <w:t>Aclaración N° 0</w:t>
      </w:r>
      <w:r>
        <w:rPr>
          <w:b/>
          <w:i/>
          <w:u w:val="single"/>
        </w:rPr>
        <w:t>5</w:t>
      </w:r>
      <w:r w:rsidRPr="002618DF">
        <w:rPr>
          <w:b/>
          <w:i/>
          <w:u w:val="single"/>
        </w:rPr>
        <w:t xml:space="preserve"> </w:t>
      </w:r>
    </w:p>
    <w:p w14:paraId="1FD35927" w14:textId="61971975" w:rsidR="00B13A7C" w:rsidRDefault="00BF23E7" w:rsidP="002618DF">
      <w:pPr>
        <w:pStyle w:val="Prrafodelista"/>
        <w:spacing w:after="0" w:line="240" w:lineRule="auto"/>
        <w:ind w:left="0"/>
        <w:jc w:val="both"/>
      </w:pPr>
      <w:r>
        <w:t xml:space="preserve">¨TENEMOS UN CASO SIMILAR CON EL MINISTERIO DE CULTURA, ELLOS SI HAN ACOGIDO NUESTRO CORREO¨; es bueno aclarar que el Ministerio de Cultura no administra una RED GEODESICA, ellos realizan trabajos geodésicos para sus fines por lo tanto sus equipos no son de  Infraestructura Geodésica como de la REGPMOC  sino para trabajos geodésicos </w:t>
      </w:r>
      <w:r w:rsidR="00F8416A">
        <w:t>de</w:t>
      </w:r>
      <w:r>
        <w:t xml:space="preserve"> campo que es muy distinto.</w:t>
      </w:r>
    </w:p>
    <w:p w14:paraId="29ED4D20" w14:textId="0DB8C573" w:rsidR="00940B31" w:rsidRDefault="00940B31" w:rsidP="002618DF">
      <w:pPr>
        <w:pStyle w:val="Prrafodelista"/>
        <w:spacing w:after="0" w:line="240" w:lineRule="auto"/>
        <w:ind w:left="0" w:firstLine="792"/>
        <w:jc w:val="both"/>
      </w:pPr>
      <w:bookmarkStart w:id="0" w:name="_GoBack"/>
      <w:bookmarkEnd w:id="0"/>
    </w:p>
    <w:sectPr w:rsidR="00940B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D9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93E3A"/>
    <w:multiLevelType w:val="multilevel"/>
    <w:tmpl w:val="4188673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2" w15:restartNumberingAfterBreak="0">
    <w:nsid w:val="2D8E5A3E"/>
    <w:multiLevelType w:val="multilevel"/>
    <w:tmpl w:val="7ACC65F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BF561A"/>
    <w:multiLevelType w:val="hybridMultilevel"/>
    <w:tmpl w:val="DFD8DC28"/>
    <w:lvl w:ilvl="0" w:tplc="A9F00E5C">
      <w:numFmt w:val="bullet"/>
      <w:lvlText w:val="-"/>
      <w:lvlJc w:val="left"/>
      <w:pPr>
        <w:ind w:left="810" w:hanging="360"/>
      </w:pPr>
      <w:rPr>
        <w:rFonts w:ascii="Times New Roman" w:eastAsia="Times New Roman" w:hAnsi="Times New Roman" w:cs="Times New Roman" w:hint="default"/>
        <w:color w:val="auto"/>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4" w15:restartNumberingAfterBreak="0">
    <w:nsid w:val="407910E2"/>
    <w:multiLevelType w:val="hybridMultilevel"/>
    <w:tmpl w:val="A5ECFC4C"/>
    <w:lvl w:ilvl="0" w:tplc="280A0001">
      <w:start w:val="1"/>
      <w:numFmt w:val="bullet"/>
      <w:lvlText w:val=""/>
      <w:lvlJc w:val="left"/>
      <w:pPr>
        <w:ind w:left="1505" w:hanging="360"/>
      </w:pPr>
      <w:rPr>
        <w:rFonts w:ascii="Symbol" w:hAnsi="Symbol" w:hint="default"/>
      </w:rPr>
    </w:lvl>
    <w:lvl w:ilvl="1" w:tplc="280A0003" w:tentative="1">
      <w:start w:val="1"/>
      <w:numFmt w:val="bullet"/>
      <w:lvlText w:val="o"/>
      <w:lvlJc w:val="left"/>
      <w:pPr>
        <w:ind w:left="2225" w:hanging="360"/>
      </w:pPr>
      <w:rPr>
        <w:rFonts w:ascii="Courier New" w:hAnsi="Courier New" w:cs="Courier New" w:hint="default"/>
      </w:rPr>
    </w:lvl>
    <w:lvl w:ilvl="2" w:tplc="280A0005" w:tentative="1">
      <w:start w:val="1"/>
      <w:numFmt w:val="bullet"/>
      <w:lvlText w:val=""/>
      <w:lvlJc w:val="left"/>
      <w:pPr>
        <w:ind w:left="2945" w:hanging="360"/>
      </w:pPr>
      <w:rPr>
        <w:rFonts w:ascii="Wingdings" w:hAnsi="Wingdings" w:hint="default"/>
      </w:rPr>
    </w:lvl>
    <w:lvl w:ilvl="3" w:tplc="280A0001" w:tentative="1">
      <w:start w:val="1"/>
      <w:numFmt w:val="bullet"/>
      <w:lvlText w:val=""/>
      <w:lvlJc w:val="left"/>
      <w:pPr>
        <w:ind w:left="3665" w:hanging="360"/>
      </w:pPr>
      <w:rPr>
        <w:rFonts w:ascii="Symbol" w:hAnsi="Symbol" w:hint="default"/>
      </w:rPr>
    </w:lvl>
    <w:lvl w:ilvl="4" w:tplc="280A0003" w:tentative="1">
      <w:start w:val="1"/>
      <w:numFmt w:val="bullet"/>
      <w:lvlText w:val="o"/>
      <w:lvlJc w:val="left"/>
      <w:pPr>
        <w:ind w:left="4385" w:hanging="360"/>
      </w:pPr>
      <w:rPr>
        <w:rFonts w:ascii="Courier New" w:hAnsi="Courier New" w:cs="Courier New" w:hint="default"/>
      </w:rPr>
    </w:lvl>
    <w:lvl w:ilvl="5" w:tplc="280A0005" w:tentative="1">
      <w:start w:val="1"/>
      <w:numFmt w:val="bullet"/>
      <w:lvlText w:val=""/>
      <w:lvlJc w:val="left"/>
      <w:pPr>
        <w:ind w:left="5105" w:hanging="360"/>
      </w:pPr>
      <w:rPr>
        <w:rFonts w:ascii="Wingdings" w:hAnsi="Wingdings" w:hint="default"/>
      </w:rPr>
    </w:lvl>
    <w:lvl w:ilvl="6" w:tplc="280A0001" w:tentative="1">
      <w:start w:val="1"/>
      <w:numFmt w:val="bullet"/>
      <w:lvlText w:val=""/>
      <w:lvlJc w:val="left"/>
      <w:pPr>
        <w:ind w:left="5825" w:hanging="360"/>
      </w:pPr>
      <w:rPr>
        <w:rFonts w:ascii="Symbol" w:hAnsi="Symbol" w:hint="default"/>
      </w:rPr>
    </w:lvl>
    <w:lvl w:ilvl="7" w:tplc="280A0003" w:tentative="1">
      <w:start w:val="1"/>
      <w:numFmt w:val="bullet"/>
      <w:lvlText w:val="o"/>
      <w:lvlJc w:val="left"/>
      <w:pPr>
        <w:ind w:left="6545" w:hanging="360"/>
      </w:pPr>
      <w:rPr>
        <w:rFonts w:ascii="Courier New" w:hAnsi="Courier New" w:cs="Courier New" w:hint="default"/>
      </w:rPr>
    </w:lvl>
    <w:lvl w:ilvl="8" w:tplc="280A0005" w:tentative="1">
      <w:start w:val="1"/>
      <w:numFmt w:val="bullet"/>
      <w:lvlText w:val=""/>
      <w:lvlJc w:val="left"/>
      <w:pPr>
        <w:ind w:left="7265" w:hanging="360"/>
      </w:pPr>
      <w:rPr>
        <w:rFonts w:ascii="Wingdings" w:hAnsi="Wingdings" w:hint="default"/>
      </w:rPr>
    </w:lvl>
  </w:abstractNum>
  <w:abstractNum w:abstractNumId="5" w15:restartNumberingAfterBreak="0">
    <w:nsid w:val="49B329B9"/>
    <w:multiLevelType w:val="hybridMultilevel"/>
    <w:tmpl w:val="C31CC3B4"/>
    <w:lvl w:ilvl="0" w:tplc="1D02150A">
      <w:start w:val="1"/>
      <w:numFmt w:val="lowerLetter"/>
      <w:pStyle w:val="Fespecifica"/>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00A6E73"/>
    <w:multiLevelType w:val="multilevel"/>
    <w:tmpl w:val="4188673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01"/>
    <w:rsid w:val="00043B86"/>
    <w:rsid w:val="00046F50"/>
    <w:rsid w:val="000C675A"/>
    <w:rsid w:val="001415A1"/>
    <w:rsid w:val="001737FD"/>
    <w:rsid w:val="002618DF"/>
    <w:rsid w:val="003222EB"/>
    <w:rsid w:val="003302B6"/>
    <w:rsid w:val="003770DA"/>
    <w:rsid w:val="003D6759"/>
    <w:rsid w:val="003E1C1A"/>
    <w:rsid w:val="00420C80"/>
    <w:rsid w:val="005120E0"/>
    <w:rsid w:val="00571561"/>
    <w:rsid w:val="00577E6C"/>
    <w:rsid w:val="005913B7"/>
    <w:rsid w:val="005B0100"/>
    <w:rsid w:val="00660795"/>
    <w:rsid w:val="00692B87"/>
    <w:rsid w:val="006E6EF3"/>
    <w:rsid w:val="00706886"/>
    <w:rsid w:val="00724431"/>
    <w:rsid w:val="00940B31"/>
    <w:rsid w:val="0094479A"/>
    <w:rsid w:val="00963F90"/>
    <w:rsid w:val="00A54FE4"/>
    <w:rsid w:val="00A71381"/>
    <w:rsid w:val="00B13A7C"/>
    <w:rsid w:val="00B55389"/>
    <w:rsid w:val="00BB121E"/>
    <w:rsid w:val="00BF23E7"/>
    <w:rsid w:val="00C042C5"/>
    <w:rsid w:val="00C1557E"/>
    <w:rsid w:val="00C924A8"/>
    <w:rsid w:val="00CF14CA"/>
    <w:rsid w:val="00D543F1"/>
    <w:rsid w:val="00E6414C"/>
    <w:rsid w:val="00E84FDE"/>
    <w:rsid w:val="00E86BDD"/>
    <w:rsid w:val="00F82B52"/>
    <w:rsid w:val="00F8416A"/>
    <w:rsid w:val="00FB3907"/>
    <w:rsid w:val="00FF5C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0242"/>
  <w15:chartTrackingRefBased/>
  <w15:docId w15:val="{2149E47C-557D-48AC-BF6E-FAC8D64F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F5C01"/>
    <w:pPr>
      <w:ind w:left="720"/>
      <w:contextualSpacing/>
    </w:pPr>
  </w:style>
  <w:style w:type="character" w:customStyle="1" w:styleId="PrrafodelistaCar">
    <w:name w:val="Párrafo de lista Car"/>
    <w:basedOn w:val="Fuentedeprrafopredeter"/>
    <w:link w:val="Prrafodelista"/>
    <w:uiPriority w:val="34"/>
    <w:rsid w:val="00CF14CA"/>
  </w:style>
  <w:style w:type="paragraph" w:styleId="NormalWeb">
    <w:name w:val="Normal (Web)"/>
    <w:basedOn w:val="Normal"/>
    <w:uiPriority w:val="99"/>
    <w:semiHidden/>
    <w:unhideWhenUsed/>
    <w:rsid w:val="00CF14CA"/>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Fespecifica">
    <w:name w:val="F_especifica"/>
    <w:basedOn w:val="Normal"/>
    <w:qFormat/>
    <w:rsid w:val="006E6EF3"/>
    <w:pPr>
      <w:numPr>
        <w:numId w:val="6"/>
      </w:numPr>
      <w:spacing w:after="200" w:line="240" w:lineRule="auto"/>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Rezza</dc:creator>
  <cp:keywords/>
  <dc:description/>
  <cp:lastModifiedBy>JOCHANTE</cp:lastModifiedBy>
  <cp:revision>4</cp:revision>
  <cp:lastPrinted>2016-12-20T02:16:00Z</cp:lastPrinted>
  <dcterms:created xsi:type="dcterms:W3CDTF">2016-12-20T02:03:00Z</dcterms:created>
  <dcterms:modified xsi:type="dcterms:W3CDTF">2016-12-30T02:20:00Z</dcterms:modified>
</cp:coreProperties>
</file>